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176" w:tblpY="560"/>
        <w:tblOverlap w:val="never"/>
        <w:tblW w:w="138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666"/>
        <w:gridCol w:w="1017"/>
        <w:gridCol w:w="6138"/>
        <w:gridCol w:w="896"/>
        <w:gridCol w:w="500"/>
        <w:gridCol w:w="1150"/>
        <w:gridCol w:w="2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61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               邯郸科技职业学院2024年博硕引才岗位需求表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全职/兼职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学历/职称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电子信息类、计算机类、云计算和大数据类、材料类、冶金类、医学类、财经类、机械电子工程类、化学化工类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1.事业单位工资待遇+绩效。2.安家费60万元，逐年给付。3.科研启动经费：自然科学类15万元、社会科学类5万元。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模式识别与智能系统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检测技术与自动化装置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 w:bidi="ar"/>
              </w:rPr>
              <w:t>电气工程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动力工程及工程热物理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新能源科学与工程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风能和太阳能系统及工程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大数据技术与工程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大数据与商务分析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网络与信息安全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网络与信息系统安全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网络安全技术与工程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网络空间安全与保密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材料与化工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材料工程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冶金工程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会计学（财务管理方向）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会计（财务管理方向）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兽医学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临床兽医学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兽医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应用心理学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心理学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应用心理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体育教育训练学（乒乓球方向）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体育教学（乒乓球方向）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全职</w:t>
            </w: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政治学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政治学理论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中共党史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马克思主义理论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马克思主义基本原理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马克思主义中国化研究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  <w:t>思想政治教育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事业单位工资待遇+绩效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26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6838" w:h="11906" w:orient="landscape"/>
      <w:pgMar w:top="1689" w:right="1440" w:bottom="1689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ZTQ3M2RhOWQ1NmM4ZmFhMzg1NzU3YTFlOWEzNGMifQ=="/>
  </w:docVars>
  <w:rsids>
    <w:rsidRoot w:val="40C75E1A"/>
    <w:rsid w:val="40C7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2024-04-24T03:20:00Z</dcterms:created>
  <dc:creator>卓越</dc:creator>
  <cp:lastModifiedBy>卓越</cp:lastModifiedBy>
  <dcterms:modified xsi:type="dcterms:W3CDTF">2024-04-24T03:21:25Z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89908A2ED129456B8DFD358FF1FFFDA9_11</vt:lpwstr>
  </property>
</Properties>
</file>